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Piteå kommunfullmäktige</w:t>
      </w:r>
    </w:p>
    <w:p>
      <w:pPr>
        <w:pStyle w:val="Heading1"/>
      </w:pPr>
      <w:r>
        <w:t xml:space="preserve">Bättre väghållning på Piteås landsbygd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Piteå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grusvägar på landsbygden är i dåligt skick vilket påverkar framkomlighet och säkerhet, särskilt vintertid. Kommunens egen vägunderhållsrapport 2024 visar eftersatt underhåll.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Piteå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upprustningsplan för prioriterade grusvägar.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vinterväghållningen förbättras med tidigare insatser.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dialog med byalag och företag om vägprioriteringar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budgetmedel för vägar ökas med 5 miljoner kronor per år från 2027.</w:t>
      </w:r>
    </w:p>
    <w:p>
      <w:pPr>
        <w:spacing w:before="360"/>
      </w:pPr>
    </w:p>
    <w:p>
      <w:r>
        <w:t xml:space="preserve">Piteå,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Piteå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2026-06-06T01:48:29.442Z</dcterms:created>
  <dcterms:modified xsi:type="dcterms:W3CDTF">2026-06-06T01:48:29.442Z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